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460" w:lineRule="exact"/>
        <w:jc w:val="center"/>
        <w:rPr>
          <w:rFonts w:ascii="黑体" w:hAnsi="黑体" w:eastAsia="黑体" w:cs="黑体"/>
          <w:sz w:val="32"/>
          <w:szCs w:val="32"/>
        </w:rPr>
      </w:pPr>
    </w:p>
    <w:p>
      <w:pPr>
        <w:spacing w:before="0" w:after="0" w:line="460" w:lineRule="exact"/>
        <w:jc w:val="center"/>
        <w:rPr>
          <w:rFonts w:ascii="黑体" w:hAnsi="黑体" w:eastAsia="黑体" w:cs="黑体"/>
          <w:sz w:val="32"/>
          <w:szCs w:val="32"/>
        </w:rPr>
      </w:pPr>
    </w:p>
    <w:p>
      <w:pPr>
        <w:spacing w:before="0" w:after="0" w:line="46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评估专家公正性声明</w:t>
      </w:r>
    </w:p>
    <w:p>
      <w:pPr>
        <w:spacing w:before="0" w:after="0" w:line="460" w:lineRule="exact"/>
      </w:pPr>
    </w:p>
    <w:p>
      <w:pPr>
        <w:spacing w:before="0" w:after="0" w:line="460" w:lineRule="exact"/>
        <w:ind w:firstLine="422" w:firstLineChars="200"/>
        <w:rPr>
          <w:b/>
        </w:rPr>
      </w:pPr>
    </w:p>
    <w:p>
      <w:pPr>
        <w:spacing w:before="0" w:after="0" w:line="460" w:lineRule="exact"/>
        <w:ind w:firstLine="422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/>
          <w:b/>
        </w:rPr>
        <w:t>评估</w:t>
      </w:r>
      <w:r>
        <w:rPr>
          <w:rFonts w:hint="eastAsia"/>
          <w:b/>
          <w:lang w:eastAsia="zh-CN"/>
        </w:rPr>
        <w:t>单位</w:t>
      </w:r>
      <w:r>
        <w:rPr>
          <w:rFonts w:hint="eastAsia"/>
          <w:b/>
        </w:rPr>
        <w:t>名称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                  </w:t>
      </w:r>
      <w:r>
        <w:rPr>
          <w:rFonts w:hint="eastAsia"/>
        </w:rPr>
        <w:t xml:space="preserve"> </w:t>
      </w:r>
    </w:p>
    <w:p>
      <w:pPr>
        <w:pStyle w:val="12"/>
        <w:spacing w:line="440" w:lineRule="exact"/>
        <w:ind w:firstLine="422" w:firstLineChars="200"/>
        <w:rPr>
          <w:b/>
          <w:bCs/>
        </w:rPr>
      </w:pPr>
      <w:r>
        <w:rPr>
          <w:rFonts w:hint="eastAsia" w:cs="Arial" w:asciiTheme="minorEastAsia" w:hAnsiTheme="minorEastAsia" w:eastAsiaTheme="minorEastAsia"/>
          <w:b/>
          <w:color w:val="000000" w:themeColor="text1"/>
        </w:rPr>
        <w:t>根据《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</w:rPr>
        <w:t>社会组织评估管理办法》（民政部令第</w:t>
      </w:r>
      <w:r>
        <w:rPr>
          <w:rFonts w:asciiTheme="minorEastAsia" w:hAnsiTheme="minorEastAsia" w:eastAsiaTheme="minorEastAsia"/>
          <w:b/>
          <w:color w:val="000000" w:themeColor="text1"/>
          <w:kern w:val="0"/>
        </w:rPr>
        <w:t>39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</w:rPr>
        <w:t>号）及</w:t>
      </w:r>
      <w:r>
        <w:rPr>
          <w:rFonts w:hint="eastAsia" w:cs="宋体"/>
          <w:b/>
          <w:bCs/>
        </w:rPr>
        <w:t>国家相关法律法规要求，为确保本次评估工作的公正性、规范性</w:t>
      </w:r>
      <w:r>
        <w:rPr>
          <w:rFonts w:hint="eastAsia" w:cs="宋体"/>
          <w:b/>
          <w:bCs/>
          <w:i/>
          <w:iCs/>
        </w:rPr>
        <w:t>，</w:t>
      </w:r>
      <w:r>
        <w:rPr>
          <w:rFonts w:hint="eastAsia" w:cs="宋体"/>
          <w:b/>
          <w:bCs/>
        </w:rPr>
        <w:t>本人特作如下郑重声明：</w:t>
      </w:r>
    </w:p>
    <w:p>
      <w:pPr>
        <w:pStyle w:val="12"/>
        <w:spacing w:line="460" w:lineRule="exact"/>
        <w:ind w:firstLine="413" w:firstLineChars="196"/>
        <w:rPr>
          <w:rFonts w:cs="Times New Roman"/>
          <w:b/>
          <w:bCs/>
        </w:rPr>
      </w:pPr>
      <w:r>
        <w:rPr>
          <w:b/>
          <w:bCs/>
        </w:rPr>
        <w:t>1</w:t>
      </w:r>
      <w:r>
        <w:rPr>
          <w:rFonts w:hint="eastAsia" w:cs="宋体"/>
          <w:b/>
          <w:bCs/>
        </w:rPr>
        <w:t>、公正性声明</w:t>
      </w:r>
    </w:p>
    <w:p>
      <w:pPr>
        <w:pStyle w:val="12"/>
        <w:spacing w:line="440" w:lineRule="exact"/>
        <w:ind w:firstLine="405"/>
        <w:rPr>
          <w:rFonts w:ascii="宋体" w:hAnsi="宋体" w:cs="宋体"/>
        </w:rPr>
      </w:pPr>
      <w:r>
        <w:rPr>
          <w:rFonts w:hint="eastAsia" w:asciiTheme="minorEastAsia" w:hAnsiTheme="minorEastAsia" w:eastAsiaTheme="minorEastAsia"/>
        </w:rPr>
        <w:t>1.1</w:t>
      </w:r>
      <w:r>
        <w:rPr>
          <w:rFonts w:hint="eastAsia"/>
        </w:rPr>
        <w:t>本人不曾在本次评估单位担任任何职务或离职已满2年；</w:t>
      </w:r>
    </w:p>
    <w:p>
      <w:pPr>
        <w:pStyle w:val="12"/>
        <w:spacing w:line="440" w:lineRule="exact"/>
        <w:ind w:firstLine="405"/>
        <w:rPr>
          <w:rFonts w:ascii="宋体" w:hAnsi="宋体" w:cs="宋体"/>
        </w:rPr>
      </w:pPr>
      <w:r>
        <w:rPr>
          <w:rFonts w:hint="eastAsia" w:ascii="宋体" w:hAnsi="宋体" w:cs="宋体"/>
        </w:rPr>
        <w:t>1.2本人</w:t>
      </w:r>
      <w:r>
        <w:rPr>
          <w:rFonts w:hint="eastAsia"/>
        </w:rPr>
        <w:t>与本次评估单位</w:t>
      </w:r>
      <w:r>
        <w:rPr>
          <w:rFonts w:hint="eastAsia" w:ascii="宋体" w:hAnsi="宋体" w:cs="宋体"/>
        </w:rPr>
        <w:t>无任何利害关系；</w:t>
      </w:r>
    </w:p>
    <w:p>
      <w:pPr>
        <w:pStyle w:val="12"/>
        <w:spacing w:line="440" w:lineRule="exact"/>
        <w:ind w:firstLine="405"/>
        <w:rPr>
          <w:rFonts w:cs="Times New Roman"/>
        </w:rPr>
      </w:pPr>
      <w:r>
        <w:rPr>
          <w:rFonts w:hint="eastAsia" w:ascii="宋体" w:hAnsi="宋体" w:cs="宋体"/>
        </w:rPr>
        <w:t>1.3本人与本次评估</w:t>
      </w:r>
      <w:r>
        <w:rPr>
          <w:rFonts w:hint="eastAsia"/>
        </w:rPr>
        <w:t>单位</w:t>
      </w:r>
      <w:r>
        <w:rPr>
          <w:rFonts w:hint="eastAsia" w:ascii="宋体" w:hAnsi="宋体" w:cs="宋体"/>
        </w:rPr>
        <w:t>无任何其他可能影响评估结果公正性的关系。</w:t>
      </w:r>
    </w:p>
    <w:p>
      <w:pPr>
        <w:pStyle w:val="12"/>
        <w:spacing w:line="460" w:lineRule="exact"/>
        <w:ind w:firstLine="413" w:firstLineChars="196"/>
        <w:rPr>
          <w:rFonts w:cs="Times New Roman"/>
          <w:b/>
          <w:bCs/>
        </w:rPr>
      </w:pPr>
      <w:r>
        <w:rPr>
          <w:b/>
          <w:bCs/>
        </w:rPr>
        <w:t>2</w:t>
      </w:r>
      <w:r>
        <w:rPr>
          <w:rFonts w:hint="eastAsia" w:cs="宋体"/>
          <w:b/>
          <w:bCs/>
        </w:rPr>
        <w:t>、行为规范声明</w:t>
      </w:r>
    </w:p>
    <w:p>
      <w:pPr>
        <w:pStyle w:val="12"/>
        <w:spacing w:line="440" w:lineRule="exact"/>
        <w:ind w:firstLine="420"/>
        <w:rPr>
          <w:rFonts w:cs="Times New Roman"/>
        </w:rPr>
      </w:pPr>
      <w:r>
        <w:rPr>
          <w:rFonts w:hint="eastAsia" w:cs="宋体"/>
        </w:rPr>
        <w:t>本人保证在评估过程中认真负责，确保评估工作客观公正。严格遵守各项纪律</w:t>
      </w:r>
      <w:r>
        <w:rPr>
          <w:rFonts w:hint="eastAsia"/>
          <w:szCs w:val="18"/>
        </w:rPr>
        <w:t>，</w:t>
      </w:r>
      <w:r>
        <w:rPr>
          <w:szCs w:val="18"/>
        </w:rPr>
        <w:t>不</w:t>
      </w:r>
      <w:r>
        <w:rPr>
          <w:rFonts w:hint="eastAsia"/>
          <w:szCs w:val="18"/>
        </w:rPr>
        <w:t>接受评估单位</w:t>
      </w:r>
      <w:r>
        <w:rPr>
          <w:szCs w:val="18"/>
        </w:rPr>
        <w:t>以评审费</w:t>
      </w:r>
      <w:r>
        <w:rPr>
          <w:rFonts w:hint="eastAsia"/>
          <w:szCs w:val="18"/>
        </w:rPr>
        <w:t>、</w:t>
      </w:r>
      <w:r>
        <w:rPr>
          <w:szCs w:val="18"/>
        </w:rPr>
        <w:t>咨询费等</w:t>
      </w:r>
      <w:r>
        <w:rPr>
          <w:rFonts w:hint="eastAsia"/>
          <w:szCs w:val="18"/>
        </w:rPr>
        <w:t>任何形式</w:t>
      </w:r>
      <w:r>
        <w:rPr>
          <w:szCs w:val="18"/>
        </w:rPr>
        <w:t>支付的现金</w:t>
      </w:r>
      <w:r>
        <w:rPr>
          <w:rFonts w:hint="eastAsia"/>
          <w:szCs w:val="18"/>
        </w:rPr>
        <w:t>、</w:t>
      </w:r>
      <w:r>
        <w:rPr>
          <w:szCs w:val="18"/>
        </w:rPr>
        <w:t>有价证券</w:t>
      </w:r>
      <w:r>
        <w:rPr>
          <w:rFonts w:hint="eastAsia"/>
          <w:szCs w:val="18"/>
        </w:rPr>
        <w:t>（</w:t>
      </w:r>
      <w:r>
        <w:rPr>
          <w:szCs w:val="18"/>
        </w:rPr>
        <w:t>卡</w:t>
      </w:r>
      <w:r>
        <w:rPr>
          <w:rFonts w:hint="eastAsia"/>
          <w:szCs w:val="18"/>
        </w:rPr>
        <w:t>）及</w:t>
      </w:r>
      <w:r>
        <w:rPr>
          <w:szCs w:val="18"/>
        </w:rPr>
        <w:t>纪念品</w:t>
      </w:r>
      <w:r>
        <w:rPr>
          <w:rFonts w:hint="eastAsia"/>
          <w:szCs w:val="18"/>
        </w:rPr>
        <w:t>、</w:t>
      </w:r>
      <w:r>
        <w:rPr>
          <w:szCs w:val="18"/>
        </w:rPr>
        <w:t>礼品</w:t>
      </w:r>
      <w:r>
        <w:rPr>
          <w:rFonts w:hint="eastAsia"/>
          <w:szCs w:val="18"/>
        </w:rPr>
        <w:t>等</w:t>
      </w:r>
      <w:r>
        <w:rPr>
          <w:rFonts w:hint="eastAsia" w:cs="宋体"/>
        </w:rPr>
        <w:t>。</w:t>
      </w:r>
    </w:p>
    <w:p>
      <w:pPr>
        <w:pStyle w:val="12"/>
        <w:spacing w:line="460" w:lineRule="exact"/>
        <w:ind w:firstLine="422" w:firstLineChars="200"/>
        <w:rPr>
          <w:rFonts w:cs="Times New Roman"/>
          <w:b/>
          <w:bCs/>
        </w:rPr>
      </w:pPr>
      <w:r>
        <w:rPr>
          <w:b/>
          <w:bCs/>
        </w:rPr>
        <w:t>3</w:t>
      </w:r>
      <w:r>
        <w:rPr>
          <w:rFonts w:hint="eastAsia" w:cs="宋体"/>
          <w:b/>
          <w:bCs/>
        </w:rPr>
        <w:t>、保密声明</w:t>
      </w:r>
    </w:p>
    <w:p>
      <w:pPr>
        <w:pStyle w:val="12"/>
        <w:spacing w:line="460" w:lineRule="exact"/>
        <w:ind w:firstLine="420" w:firstLineChars="200"/>
      </w:pPr>
      <w:r>
        <w:rPr>
          <w:rFonts w:hint="eastAsia" w:cs="宋体"/>
        </w:rPr>
        <w:t>本人保证遵守</w:t>
      </w:r>
      <w:r>
        <w:rPr>
          <w:rFonts w:hint="eastAsia"/>
        </w:rPr>
        <w:t>评估工作</w:t>
      </w:r>
      <w:r>
        <w:rPr>
          <w:rFonts w:hint="eastAsia" w:cs="宋体"/>
        </w:rPr>
        <w:t>相关保密规定，未经该评估单位和</w:t>
      </w:r>
      <w:r>
        <w:rPr>
          <w:rFonts w:hint="eastAsia"/>
        </w:rPr>
        <w:t>民政部</w:t>
      </w:r>
      <w:r>
        <w:rPr>
          <w:rFonts w:hint="eastAsia"/>
          <w:lang w:eastAsia="zh-CN"/>
        </w:rPr>
        <w:t>民间组织服务中心</w:t>
      </w:r>
      <w:r>
        <w:rPr>
          <w:rFonts w:hint="eastAsia" w:cs="宋体"/>
        </w:rPr>
        <w:t>的书面授权，不向</w:t>
      </w:r>
      <w:r>
        <w:rPr>
          <w:rFonts w:hint="eastAsia" w:cs="宋体"/>
          <w:lang w:eastAsia="zh-CN"/>
        </w:rPr>
        <w:t>任何</w:t>
      </w:r>
      <w:bookmarkStart w:id="0" w:name="_GoBack"/>
      <w:bookmarkEnd w:id="0"/>
      <w:r>
        <w:rPr>
          <w:rFonts w:hint="eastAsia" w:cs="宋体"/>
        </w:rPr>
        <w:t>第三方透露其在技术、经济方面以及本次评估情况的信息（法律法规及有关部门强制要求的除外）。保证在现场评估过程中不私自索要、复印评估单位的非公开性文件资料，评估过程使用的文件和资料，在现场评估结束之前，全部退还。</w:t>
      </w:r>
    </w:p>
    <w:p>
      <w:pPr>
        <w:pStyle w:val="13"/>
        <w:spacing w:line="440" w:lineRule="exact"/>
        <w:ind w:left="359" w:leftChars="171" w:firstLine="480" w:firstLineChars="200"/>
        <w:rPr>
          <w:rFonts w:ascii="华文新魏" w:hAnsi="华文新魏" w:eastAsia="华文新魏" w:cs="Times New Roman"/>
          <w:color w:val="339966"/>
          <w:sz w:val="24"/>
          <w:szCs w:val="24"/>
        </w:rPr>
      </w:pPr>
    </w:p>
    <w:p>
      <w:pPr>
        <w:pStyle w:val="12"/>
        <w:spacing w:beforeLines="50" w:line="460" w:lineRule="exact"/>
        <w:ind w:firstLine="735" w:firstLineChars="350"/>
      </w:pPr>
      <w:r>
        <w:rPr>
          <w:rFonts w:hint="eastAsia" w:cs="宋体"/>
        </w:rPr>
        <w:t>以上声明如有违反，本人愿承担因此而造成的一切责任及后果。</w:t>
      </w:r>
    </w:p>
    <w:p>
      <w:pPr>
        <w:pStyle w:val="12"/>
        <w:spacing w:line="360" w:lineRule="auto"/>
        <w:rPr>
          <w:rFonts w:cs="Times New Roman"/>
        </w:rPr>
      </w:pPr>
      <w:r>
        <w:rPr>
          <w:rFonts w:hint="eastAsia" w:cs="宋体"/>
        </w:rPr>
        <w:t>　　　　　　　　　　　　　　　　　　　　　　</w:t>
      </w:r>
    </w:p>
    <w:p>
      <w:pPr>
        <w:pStyle w:val="12"/>
        <w:spacing w:line="360" w:lineRule="auto"/>
        <w:rPr>
          <w:rFonts w:cs="Times New Roman"/>
          <w:u w:val="single"/>
        </w:rPr>
      </w:pPr>
      <w:r>
        <w:rPr>
          <w:rFonts w:hint="eastAsia" w:cs="宋体"/>
        </w:rPr>
        <w:t>声明人</w:t>
      </w:r>
      <w:r>
        <w:t>(</w:t>
      </w:r>
      <w:r>
        <w:rPr>
          <w:rFonts w:hint="eastAsia" w:cs="宋体"/>
        </w:rPr>
        <w:t>签名）：</w:t>
      </w:r>
    </w:p>
    <w:p>
      <w:pPr>
        <w:pStyle w:val="12"/>
        <w:spacing w:line="360" w:lineRule="auto"/>
        <w:rPr>
          <w:rFonts w:cs="Times New Roman"/>
        </w:rPr>
      </w:pPr>
    </w:p>
    <w:p>
      <w:pPr>
        <w:pStyle w:val="12"/>
        <w:spacing w:line="360" w:lineRule="auto"/>
      </w:pPr>
    </w:p>
    <w:p>
      <w:pPr>
        <w:pStyle w:val="12"/>
        <w:spacing w:line="360" w:lineRule="auto"/>
        <w:ind w:firstLine="6615" w:firstLineChars="3150"/>
        <w:rPr>
          <w:rFonts w:cs="Times New Roman"/>
        </w:rPr>
      </w:pPr>
      <w:r>
        <w:rPr>
          <w:rFonts w:hint="eastAsia" w:cs="宋体"/>
        </w:rPr>
        <w:t>年  月  日</w:t>
      </w:r>
    </w:p>
    <w:p>
      <w:pPr>
        <w:pStyle w:val="12"/>
        <w:spacing w:line="360" w:lineRule="auto"/>
        <w:ind w:left="420" w:hanging="420" w:hangingChars="200"/>
        <w:rPr>
          <w:rFonts w:cs="Times New Roman"/>
        </w:rPr>
      </w:pPr>
      <w:r>
        <w:rPr>
          <w:rFonts w:hint="eastAsia" w:cs="宋体"/>
        </w:rPr>
        <w:t>注：所有参加此次评估的专家均须在现场评估前签署此声明。</w:t>
      </w:r>
    </w:p>
    <w:sectPr>
      <w:headerReference r:id="rId3" w:type="default"/>
      <w:footerReference r:id="rId4" w:type="default"/>
      <w:pgSz w:w="11906" w:h="16838"/>
      <w:pgMar w:top="1701" w:right="1304" w:bottom="964" w:left="1304" w:header="992" w:footer="255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thinThickSmallGap" w:color="auto" w:sz="24" w:space="1"/>
      </w:pBdr>
      <w:jc w:val="left"/>
      <w:rPr>
        <w:rFonts w:cs="Times New Roman"/>
      </w:rPr>
    </w:pPr>
  </w:p>
  <w:p>
    <w:pPr>
      <w:pStyle w:val="3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thinThickSmallGap" w:color="auto" w:sz="24" w:space="1"/>
      </w:pBdr>
      <w:tabs>
        <w:tab w:val="right" w:pos="8312"/>
        <w:tab w:val="center" w:pos="8789"/>
      </w:tabs>
      <w:snapToGrid w:val="0"/>
      <w:jc w:val="left"/>
      <w:rPr>
        <w:rFonts w:ascii="黑体" w:eastAsia="黑体" w:cs="黑体"/>
        <w:b/>
        <w:bCs/>
      </w:rPr>
    </w:pPr>
    <w:r>
      <w:pict>
        <v:rect id="_x0000_s4097" o:spid="_x0000_s4097" o:spt="1" style="position:absolute;left:0pt;margin-left:361.7pt;margin-top:-10.45pt;height:36.4pt;width:83.1pt;z-index:-1024;mso-width-relative:page;mso-height-relative:page;" coordsize="21600,21600">
          <v:path/>
          <v:fill focussize="0,0"/>
          <v:stroke/>
          <v:imagedata o:title=""/>
          <o:lock v:ext="edit"/>
          <v:textbox>
            <w:txbxContent>
              <w:p>
                <w:pPr>
                  <w:pBdr>
                    <w:bottom w:val="single" w:color="auto" w:sz="4" w:space="0"/>
                  </w:pBdr>
                  <w:spacing w:before="0" w:after="0" w:line="280" w:lineRule="exact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hint="eastAsia" w:hAnsi="宋体" w:cs="宋体"/>
                    <w:sz w:val="22"/>
                    <w:szCs w:val="22"/>
                  </w:rPr>
                  <w:t>版本号</w:t>
                </w:r>
                <w:r>
                  <w:rPr>
                    <w:rFonts w:ascii="Times New Roman" w:hAnsi="Times New Roman" w:cs="Times New Roman"/>
                    <w:sz w:val="22"/>
                    <w:szCs w:val="22"/>
                  </w:rPr>
                  <w:t xml:space="preserve">A/0  </w:t>
                </w:r>
              </w:p>
              <w:p>
                <w:pPr>
                  <w:adjustRightInd w:val="0"/>
                  <w:snapToGrid w:val="0"/>
                  <w:spacing w:before="0" w:after="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hint="eastAsia" w:ascii="Times New Roman" w:hAnsi="Times New Roman" w:cs="Times New Roman"/>
                    <w:sz w:val="22"/>
                    <w:szCs w:val="22"/>
                  </w:rPr>
                  <w:t>MCA</w:t>
                </w:r>
                <w:r>
                  <w:rPr>
                    <w:rFonts w:ascii="Times New Roman" w:hAnsi="Times New Roman" w:cs="Times New Roman"/>
                    <w:sz w:val="22"/>
                    <w:szCs w:val="22"/>
                  </w:rPr>
                  <w:t>/</w:t>
                </w:r>
                <w:r>
                  <w:rPr>
                    <w:rFonts w:hint="eastAsia" w:ascii="Times New Roman" w:hAnsi="Times New Roman" w:cs="Times New Roman"/>
                    <w:sz w:val="22"/>
                    <w:szCs w:val="22"/>
                  </w:rPr>
                  <w:t>SO</w:t>
                </w:r>
                <w:r>
                  <w:rPr>
                    <w:rFonts w:ascii="Times New Roman" w:hAnsi="Times New Roman" w:cs="Times New Roman"/>
                    <w:sz w:val="22"/>
                    <w:szCs w:val="22"/>
                  </w:rPr>
                  <w:t>-0</w:t>
                </w:r>
                <w:r>
                  <w:rPr>
                    <w:rFonts w:hint="eastAsia" w:ascii="Times New Roman" w:hAnsi="Times New Roman" w:cs="Times New Roman"/>
                    <w:sz w:val="22"/>
                    <w:szCs w:val="22"/>
                  </w:rPr>
                  <w:t>6</w:t>
                </w:r>
              </w:p>
            </w:txbxContent>
          </v:textbox>
        </v:rect>
      </w:pict>
    </w:r>
  </w:p>
  <w:p>
    <w:pPr>
      <w:pStyle w:val="5"/>
      <w:pBdr>
        <w:bottom w:val="thinThickSmallGap" w:color="auto" w:sz="24" w:space="1"/>
      </w:pBdr>
      <w:tabs>
        <w:tab w:val="right" w:pos="8312"/>
        <w:tab w:val="center" w:pos="8789"/>
      </w:tabs>
      <w:snapToGrid w:val="0"/>
      <w:jc w:val="left"/>
      <w:rPr>
        <w:rFonts w:ascii="黑体" w:eastAsia="黑体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155"/>
    <w:rsid w:val="00013492"/>
    <w:rsid w:val="0001572D"/>
    <w:rsid w:val="0002399B"/>
    <w:rsid w:val="00052FA1"/>
    <w:rsid w:val="000964FD"/>
    <w:rsid w:val="000A388C"/>
    <w:rsid w:val="000B1AE4"/>
    <w:rsid w:val="000C74E0"/>
    <w:rsid w:val="000E0575"/>
    <w:rsid w:val="00101416"/>
    <w:rsid w:val="00123804"/>
    <w:rsid w:val="0019062D"/>
    <w:rsid w:val="001A01C4"/>
    <w:rsid w:val="001B5F33"/>
    <w:rsid w:val="002000BB"/>
    <w:rsid w:val="002001E9"/>
    <w:rsid w:val="00234ABF"/>
    <w:rsid w:val="00241110"/>
    <w:rsid w:val="002C599D"/>
    <w:rsid w:val="002D2895"/>
    <w:rsid w:val="00343442"/>
    <w:rsid w:val="003440F6"/>
    <w:rsid w:val="00376752"/>
    <w:rsid w:val="0039352D"/>
    <w:rsid w:val="003B5C7E"/>
    <w:rsid w:val="003C4DAF"/>
    <w:rsid w:val="003E3FB4"/>
    <w:rsid w:val="003F6271"/>
    <w:rsid w:val="004048C5"/>
    <w:rsid w:val="00423BA2"/>
    <w:rsid w:val="0045058F"/>
    <w:rsid w:val="00460F42"/>
    <w:rsid w:val="004642D5"/>
    <w:rsid w:val="004A2F46"/>
    <w:rsid w:val="004C2FB7"/>
    <w:rsid w:val="004C7155"/>
    <w:rsid w:val="004E6256"/>
    <w:rsid w:val="004F1C31"/>
    <w:rsid w:val="00547522"/>
    <w:rsid w:val="00547F46"/>
    <w:rsid w:val="005A4587"/>
    <w:rsid w:val="005B462B"/>
    <w:rsid w:val="005C4B61"/>
    <w:rsid w:val="005E017B"/>
    <w:rsid w:val="005F1F64"/>
    <w:rsid w:val="00631901"/>
    <w:rsid w:val="00633E4C"/>
    <w:rsid w:val="006C1E8F"/>
    <w:rsid w:val="006E25C2"/>
    <w:rsid w:val="006F01EB"/>
    <w:rsid w:val="0070173E"/>
    <w:rsid w:val="0075616F"/>
    <w:rsid w:val="00761746"/>
    <w:rsid w:val="007818AB"/>
    <w:rsid w:val="007C7AA5"/>
    <w:rsid w:val="007D7DA5"/>
    <w:rsid w:val="00851B51"/>
    <w:rsid w:val="00862E00"/>
    <w:rsid w:val="00892EDA"/>
    <w:rsid w:val="008934C1"/>
    <w:rsid w:val="008E1DF7"/>
    <w:rsid w:val="009412A3"/>
    <w:rsid w:val="00952B22"/>
    <w:rsid w:val="00953C18"/>
    <w:rsid w:val="00956DAC"/>
    <w:rsid w:val="00965783"/>
    <w:rsid w:val="009916D7"/>
    <w:rsid w:val="00997BA4"/>
    <w:rsid w:val="009A1551"/>
    <w:rsid w:val="009B4571"/>
    <w:rsid w:val="009E5734"/>
    <w:rsid w:val="00A05859"/>
    <w:rsid w:val="00A10AFC"/>
    <w:rsid w:val="00A27DD8"/>
    <w:rsid w:val="00A63991"/>
    <w:rsid w:val="00A65EE7"/>
    <w:rsid w:val="00B17745"/>
    <w:rsid w:val="00B37B3F"/>
    <w:rsid w:val="00B4046A"/>
    <w:rsid w:val="00B40AD4"/>
    <w:rsid w:val="00B571C5"/>
    <w:rsid w:val="00B6361B"/>
    <w:rsid w:val="00B916F7"/>
    <w:rsid w:val="00B96F9B"/>
    <w:rsid w:val="00BA2E82"/>
    <w:rsid w:val="00BE05A0"/>
    <w:rsid w:val="00BF68B5"/>
    <w:rsid w:val="00C145D9"/>
    <w:rsid w:val="00C81A9F"/>
    <w:rsid w:val="00C94D68"/>
    <w:rsid w:val="00CE51D6"/>
    <w:rsid w:val="00CE533A"/>
    <w:rsid w:val="00CF490E"/>
    <w:rsid w:val="00D25702"/>
    <w:rsid w:val="00D309C2"/>
    <w:rsid w:val="00D45037"/>
    <w:rsid w:val="00D67204"/>
    <w:rsid w:val="00D845CD"/>
    <w:rsid w:val="00D87580"/>
    <w:rsid w:val="00D91BF3"/>
    <w:rsid w:val="00DA2B49"/>
    <w:rsid w:val="00DC1405"/>
    <w:rsid w:val="00E045B0"/>
    <w:rsid w:val="00E44650"/>
    <w:rsid w:val="00E75FE8"/>
    <w:rsid w:val="00EB633F"/>
    <w:rsid w:val="00EF0EE0"/>
    <w:rsid w:val="00F051C5"/>
    <w:rsid w:val="00F26B27"/>
    <w:rsid w:val="00F316AE"/>
    <w:rsid w:val="00F66A2F"/>
    <w:rsid w:val="00F90EDD"/>
    <w:rsid w:val="00FA65C7"/>
    <w:rsid w:val="02E91340"/>
    <w:rsid w:val="08C50904"/>
    <w:rsid w:val="0DF8564D"/>
    <w:rsid w:val="1FA00C3B"/>
    <w:rsid w:val="230279FC"/>
    <w:rsid w:val="42014C57"/>
    <w:rsid w:val="57751D0C"/>
    <w:rsid w:val="5EDF69B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240" w:line="240" w:lineRule="exact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0" w:after="0" w:line="240" w:lineRule="auto"/>
    </w:pPr>
    <w:rPr>
      <w:rFonts w:ascii="Times New Roman" w:hAnsi="Times New Roman" w:cs="Times New Roman"/>
      <w:sz w:val="24"/>
      <w:szCs w:val="24"/>
    </w:rPr>
  </w:style>
  <w:style w:type="table" w:styleId="8">
    <w:name w:val="Table Grid"/>
    <w:basedOn w:val="7"/>
    <w:qFormat/>
    <w:uiPriority w:val="99"/>
    <w:pPr>
      <w:jc w:val="both"/>
    </w:pPr>
    <w:rPr>
      <w:rFonts w:cs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4"/>
    <w:qFormat/>
    <w:locked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locked/>
    <w:uiPriority w:val="99"/>
    <w:rPr>
      <w:sz w:val="18"/>
      <w:szCs w:val="18"/>
    </w:rPr>
  </w:style>
  <w:style w:type="character" w:customStyle="1" w:styleId="11">
    <w:name w:val="批注框文本 Char"/>
    <w:basedOn w:val="6"/>
    <w:link w:val="2"/>
    <w:semiHidden/>
    <w:qFormat/>
    <w:locked/>
    <w:uiPriority w:val="99"/>
    <w:rPr>
      <w:sz w:val="18"/>
      <w:szCs w:val="18"/>
    </w:rPr>
  </w:style>
  <w:style w:type="paragraph" w:customStyle="1" w:styleId="12">
    <w:name w:val="无间隔1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3">
    <w:name w:val="p0"/>
    <w:basedOn w:val="1"/>
    <w:qFormat/>
    <w:uiPriority w:val="99"/>
    <w:pPr>
      <w:widowControl/>
      <w:spacing w:before="0" w:after="0" w:line="240" w:lineRule="auto"/>
      <w:jc w:val="left"/>
    </w:pPr>
    <w:rPr>
      <w:rFonts w:ascii="Arial" w:hAnsi="Arial" w:cs="Arial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wsc</Company>
  <Pages>1</Pages>
  <Words>80</Words>
  <Characters>457</Characters>
  <Lines>3</Lines>
  <Paragraphs>1</Paragraphs>
  <TotalTime>0</TotalTime>
  <ScaleCrop>false</ScaleCrop>
  <LinksUpToDate>false</LinksUpToDate>
  <CharactersWithSpaces>536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2015-06-09T04:53:00Z</dcterms:created>
  <dc:creator>王媛</dc:creator>
  <cp:lastModifiedBy>qutao</cp:lastModifiedBy>
  <cp:lastPrinted>2014-04-03T13:19:00Z</cp:lastPrinted>
  <dcterms:modified xsi:type="dcterms:W3CDTF">2016-10-25T00:51:31Z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